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232C1F" w14:textId="77777777" w:rsidR="00FA33D8" w:rsidRDefault="00FA33D8"/>
    <w:p w14:paraId="50D3C3DA" w14:textId="02F705E6" w:rsidR="00044EF0" w:rsidRDefault="00044EF0" w:rsidP="00044EF0">
      <w:pPr>
        <w:pStyle w:val="NormalWeb"/>
        <w:shd w:val="clear" w:color="auto" w:fill="FFFFFF"/>
        <w:spacing w:before="0" w:beforeAutospacing="0" w:after="450" w:afterAutospacing="0"/>
        <w:rPr>
          <w:rFonts w:ascii="Lato" w:hAnsi="Lato"/>
          <w:color w:val="333333"/>
        </w:rPr>
      </w:pPr>
      <w:r>
        <w:rPr>
          <w:rStyle w:val="Strong"/>
          <w:rFonts w:ascii="Arial" w:hAnsi="Arial" w:cs="Arial"/>
          <w:color w:val="333333"/>
          <w:sz w:val="21"/>
          <w:szCs w:val="21"/>
        </w:rPr>
        <w:t>Question:   Will my taxes go up after a reassessment?</w:t>
      </w:r>
    </w:p>
    <w:p w14:paraId="670D6EEA" w14:textId="2B68F3B1" w:rsidR="00044EF0" w:rsidRDefault="00044EF0" w:rsidP="00044EF0">
      <w:pPr>
        <w:pStyle w:val="NormalWeb"/>
        <w:shd w:val="clear" w:color="auto" w:fill="FFFFFF"/>
        <w:spacing w:before="0" w:beforeAutospacing="0" w:after="450" w:afterAutospacing="0"/>
        <w:rPr>
          <w:rFonts w:ascii="Arial" w:hAnsi="Arial" w:cs="Arial"/>
          <w:color w:val="333333"/>
          <w:sz w:val="21"/>
          <w:szCs w:val="21"/>
        </w:rPr>
      </w:pPr>
      <w:r w:rsidRPr="00044EF0">
        <w:rPr>
          <w:rFonts w:ascii="Arial" w:hAnsi="Arial" w:cs="Arial"/>
          <w:b/>
          <w:bCs/>
          <w:color w:val="333333"/>
          <w:sz w:val="21"/>
          <w:szCs w:val="21"/>
        </w:rPr>
        <w:t>Answer</w:t>
      </w:r>
      <w:r>
        <w:rPr>
          <w:rFonts w:ascii="Arial" w:hAnsi="Arial" w:cs="Arial"/>
          <w:color w:val="333333"/>
          <w:sz w:val="21"/>
          <w:szCs w:val="21"/>
        </w:rPr>
        <w:t>:   Not everyone’s taxes increase after a reassessment. </w:t>
      </w:r>
      <w:r>
        <w:rPr>
          <w:rStyle w:val="Strong"/>
          <w:rFonts w:ascii="Arial" w:hAnsi="Arial" w:cs="Arial"/>
          <w:color w:val="333333"/>
          <w:sz w:val="21"/>
          <w:szCs w:val="21"/>
        </w:rPr>
        <w:t>Tax rates are determined by dividing the budgets into the total town taxable value</w:t>
      </w:r>
      <w:r>
        <w:rPr>
          <w:rFonts w:ascii="Arial" w:hAnsi="Arial" w:cs="Arial"/>
          <w:color w:val="333333"/>
          <w:sz w:val="21"/>
          <w:szCs w:val="21"/>
        </w:rPr>
        <w:t>. Therefore, the tax rates should be reduced when the total town taxable increases. Some property owners could see an increase in their taxes and some may see a decrease in their tax liability. See example below:</w:t>
      </w:r>
    </w:p>
    <w:tbl>
      <w:tblPr>
        <w:tblW w:w="10080" w:type="dxa"/>
        <w:tblInd w:w="53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6"/>
        <w:gridCol w:w="2709"/>
        <w:gridCol w:w="2709"/>
        <w:gridCol w:w="2486"/>
      </w:tblGrid>
      <w:tr w:rsidR="00044EF0" w14:paraId="06968F5E" w14:textId="77777777" w:rsidTr="00613DA8">
        <w:trPr>
          <w:trHeight w:val="480"/>
        </w:trPr>
        <w:tc>
          <w:tcPr>
            <w:tcW w:w="2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6D6988" w14:textId="77777777" w:rsidR="00044EF0" w:rsidRDefault="00044EF0" w:rsidP="00613DA8">
            <w:pPr>
              <w:rPr>
                <w:rFonts w:ascii="Lato" w:hAnsi="Lato"/>
                <w:color w:val="333333"/>
                <w:sz w:val="24"/>
                <w:szCs w:val="24"/>
                <w14:ligatures w14:val="none"/>
              </w:rPr>
            </w:pPr>
          </w:p>
          <w:p w14:paraId="79765AC6" w14:textId="77777777" w:rsidR="00044EF0" w:rsidRDefault="00044EF0" w:rsidP="00613DA8">
            <w:pPr>
              <w:rPr>
                <w:rFonts w:ascii="Lato" w:hAnsi="Lato"/>
                <w:color w:val="333333"/>
                <w:sz w:val="24"/>
                <w:szCs w:val="24"/>
                <w14:ligatures w14:val="none"/>
              </w:rPr>
            </w:pPr>
          </w:p>
          <w:p w14:paraId="4C854C00" w14:textId="77777777" w:rsidR="00044EF0" w:rsidRDefault="00044EF0" w:rsidP="00613DA8">
            <w:pPr>
              <w:rPr>
                <w:rFonts w:ascii="Lato" w:hAnsi="Lato"/>
                <w:color w:val="333333"/>
                <w:sz w:val="24"/>
                <w:szCs w:val="24"/>
                <w14:ligatures w14:val="none"/>
              </w:rPr>
            </w:pPr>
          </w:p>
        </w:tc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C16F65" w14:textId="77777777" w:rsidR="00044EF0" w:rsidRDefault="00044EF0" w:rsidP="00613DA8">
            <w:pPr>
              <w:jc w:val="center"/>
              <w:rPr>
                <w:rFonts w:ascii="Lato" w:hAnsi="Lato"/>
                <w:color w:val="333333"/>
                <w:sz w:val="24"/>
                <w:szCs w:val="24"/>
                <w14:ligatures w14:val="none"/>
              </w:rPr>
            </w:pPr>
            <w:r>
              <w:rPr>
                <w:rFonts w:ascii="Lato" w:hAnsi="Lato"/>
                <w:b/>
                <w:bCs/>
                <w:color w:val="333333"/>
                <w:sz w:val="24"/>
                <w:szCs w:val="24"/>
                <w14:ligatures w14:val="none"/>
              </w:rPr>
              <w:t>THE SMITHS</w:t>
            </w:r>
          </w:p>
        </w:tc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DB55E7" w14:textId="77777777" w:rsidR="00044EF0" w:rsidRDefault="00044EF0" w:rsidP="00613DA8">
            <w:pPr>
              <w:jc w:val="center"/>
              <w:rPr>
                <w:rFonts w:ascii="Lato" w:hAnsi="Lato"/>
                <w:color w:val="333333"/>
                <w:sz w:val="24"/>
                <w:szCs w:val="24"/>
                <w14:ligatures w14:val="none"/>
              </w:rPr>
            </w:pPr>
            <w:r>
              <w:rPr>
                <w:rFonts w:ascii="Lato" w:hAnsi="Lato"/>
                <w:b/>
                <w:bCs/>
                <w:color w:val="333333"/>
                <w:sz w:val="24"/>
                <w:szCs w:val="24"/>
                <w14:ligatures w14:val="none"/>
              </w:rPr>
              <w:t>THE JONES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7B3B17" w14:textId="77777777" w:rsidR="00044EF0" w:rsidRDefault="00044EF0" w:rsidP="00613DA8">
            <w:pPr>
              <w:jc w:val="center"/>
              <w:rPr>
                <w:rFonts w:ascii="Lato" w:hAnsi="Lato"/>
                <w:color w:val="333333"/>
                <w:sz w:val="24"/>
                <w:szCs w:val="24"/>
                <w14:ligatures w14:val="none"/>
              </w:rPr>
            </w:pPr>
            <w:r>
              <w:rPr>
                <w:rFonts w:ascii="Lato" w:hAnsi="Lato"/>
                <w:b/>
                <w:bCs/>
                <w:color w:val="333333"/>
                <w:sz w:val="24"/>
                <w:szCs w:val="24"/>
                <w14:ligatures w14:val="none"/>
              </w:rPr>
              <w:t>TOTAL TAXES COLLECTED</w:t>
            </w:r>
          </w:p>
        </w:tc>
      </w:tr>
      <w:tr w:rsidR="00044EF0" w14:paraId="24AFF5E6" w14:textId="77777777" w:rsidTr="00613DA8">
        <w:trPr>
          <w:trHeight w:val="480"/>
        </w:trPr>
        <w:tc>
          <w:tcPr>
            <w:tcW w:w="2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06AA7E" w14:textId="77777777" w:rsidR="00044EF0" w:rsidRDefault="00044EF0" w:rsidP="00613DA8">
            <w:pPr>
              <w:rPr>
                <w:rFonts w:ascii="Lato" w:hAnsi="Lato"/>
                <w:color w:val="333333"/>
                <w:sz w:val="24"/>
                <w:szCs w:val="24"/>
                <w14:ligatures w14:val="none"/>
              </w:rPr>
            </w:pPr>
            <w:r>
              <w:rPr>
                <w:rFonts w:ascii="Lato" w:hAnsi="Lato"/>
                <w:b/>
                <w:bCs/>
                <w:color w:val="333333"/>
                <w:sz w:val="24"/>
                <w:szCs w:val="24"/>
                <w14:ligatures w14:val="none"/>
              </w:rPr>
              <w:t>Assessment PRIOR to reassessment</w:t>
            </w:r>
          </w:p>
        </w:tc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C77717" w14:textId="77777777" w:rsidR="00044EF0" w:rsidRDefault="00044EF0" w:rsidP="00613DA8">
            <w:pPr>
              <w:jc w:val="center"/>
              <w:rPr>
                <w:rFonts w:ascii="Lato" w:hAnsi="Lato"/>
                <w:color w:val="333333"/>
                <w:sz w:val="24"/>
                <w:szCs w:val="24"/>
                <w14:ligatures w14:val="none"/>
              </w:rPr>
            </w:pPr>
            <w:r>
              <w:rPr>
                <w:rFonts w:ascii="Lato" w:hAnsi="Lato"/>
                <w:color w:val="333333"/>
                <w:sz w:val="24"/>
                <w:szCs w:val="24"/>
                <w14:ligatures w14:val="none"/>
              </w:rPr>
              <w:t>$100,000</w:t>
            </w:r>
          </w:p>
        </w:tc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30ACF5" w14:textId="77777777" w:rsidR="00044EF0" w:rsidRDefault="00044EF0" w:rsidP="00613DA8">
            <w:pPr>
              <w:jc w:val="center"/>
              <w:rPr>
                <w:rFonts w:ascii="Lato" w:hAnsi="Lato"/>
                <w:color w:val="333333"/>
                <w:sz w:val="24"/>
                <w:szCs w:val="24"/>
                <w14:ligatures w14:val="none"/>
              </w:rPr>
            </w:pPr>
            <w:r>
              <w:rPr>
                <w:rFonts w:ascii="Lato" w:hAnsi="Lato"/>
                <w:color w:val="333333"/>
                <w:sz w:val="24"/>
                <w:szCs w:val="24"/>
                <w14:ligatures w14:val="none"/>
              </w:rPr>
              <w:t>$100,000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6819BB" w14:textId="77777777" w:rsidR="00044EF0" w:rsidRDefault="00044EF0" w:rsidP="00613DA8">
            <w:pPr>
              <w:jc w:val="center"/>
              <w:rPr>
                <w:rFonts w:ascii="Lato" w:hAnsi="Lato"/>
                <w:color w:val="333333"/>
                <w:sz w:val="24"/>
                <w:szCs w:val="24"/>
                <w14:ligatures w14:val="none"/>
              </w:rPr>
            </w:pPr>
            <w:r>
              <w:rPr>
                <w:rFonts w:ascii="Lato" w:hAnsi="Lato"/>
                <w:color w:val="333333"/>
                <w:sz w:val="24"/>
                <w:szCs w:val="24"/>
                <w14:ligatures w14:val="none"/>
              </w:rPr>
              <w:t>$4,000</w:t>
            </w:r>
          </w:p>
        </w:tc>
      </w:tr>
      <w:tr w:rsidR="00044EF0" w14:paraId="6E97C3C6" w14:textId="77777777" w:rsidTr="00613DA8">
        <w:trPr>
          <w:trHeight w:val="960"/>
        </w:trPr>
        <w:tc>
          <w:tcPr>
            <w:tcW w:w="2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793FAA" w14:textId="77777777" w:rsidR="00044EF0" w:rsidRDefault="00044EF0" w:rsidP="00613DA8">
            <w:pPr>
              <w:rPr>
                <w:rFonts w:ascii="Lato" w:hAnsi="Lato"/>
                <w:color w:val="333333"/>
                <w:sz w:val="24"/>
                <w:szCs w:val="24"/>
                <w14:ligatures w14:val="none"/>
              </w:rPr>
            </w:pPr>
            <w:r>
              <w:rPr>
                <w:rFonts w:ascii="Lato" w:hAnsi="Lato"/>
                <w:b/>
                <w:bCs/>
                <w:color w:val="333333"/>
                <w:sz w:val="24"/>
                <w:szCs w:val="24"/>
                <w14:ligatures w14:val="none"/>
              </w:rPr>
              <w:t>Taxes PRIOR to reassessment</w:t>
            </w:r>
          </w:p>
        </w:tc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8C1EB1" w14:textId="77777777" w:rsidR="00044EF0" w:rsidRDefault="00044EF0" w:rsidP="00613DA8">
            <w:pPr>
              <w:jc w:val="center"/>
              <w:rPr>
                <w:rFonts w:ascii="Lato" w:hAnsi="Lato"/>
                <w:color w:val="333333"/>
                <w:sz w:val="24"/>
                <w:szCs w:val="24"/>
                <w14:ligatures w14:val="none"/>
              </w:rPr>
            </w:pPr>
            <w:r>
              <w:rPr>
                <w:rFonts w:ascii="Lato" w:hAnsi="Lato"/>
                <w:color w:val="333333"/>
                <w:sz w:val="24"/>
                <w:szCs w:val="24"/>
                <w14:ligatures w14:val="none"/>
              </w:rPr>
              <w:t>$2,000</w:t>
            </w:r>
          </w:p>
        </w:tc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826682" w14:textId="77777777" w:rsidR="00044EF0" w:rsidRDefault="00044EF0" w:rsidP="00613DA8">
            <w:pPr>
              <w:jc w:val="center"/>
              <w:rPr>
                <w:rFonts w:ascii="Lato" w:hAnsi="Lato"/>
                <w:color w:val="333333"/>
                <w:sz w:val="24"/>
                <w:szCs w:val="24"/>
                <w14:ligatures w14:val="none"/>
              </w:rPr>
            </w:pPr>
            <w:r>
              <w:rPr>
                <w:rFonts w:ascii="Lato" w:hAnsi="Lato"/>
                <w:color w:val="333333"/>
                <w:sz w:val="24"/>
                <w:szCs w:val="24"/>
                <w14:ligatures w14:val="none"/>
              </w:rPr>
              <w:t>$2,000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A36CF5" w14:textId="77777777" w:rsidR="00044EF0" w:rsidRDefault="00044EF0" w:rsidP="00613DA8">
            <w:pPr>
              <w:jc w:val="center"/>
              <w:rPr>
                <w:rFonts w:ascii="Lato" w:hAnsi="Lato"/>
                <w:color w:val="333333"/>
                <w:sz w:val="24"/>
                <w:szCs w:val="24"/>
                <w14:ligatures w14:val="none"/>
              </w:rPr>
            </w:pPr>
            <w:r>
              <w:rPr>
                <w:rFonts w:ascii="Lato" w:hAnsi="Lato"/>
                <w:color w:val="333333"/>
                <w:sz w:val="24"/>
                <w:szCs w:val="24"/>
                <w14:ligatures w14:val="none"/>
              </w:rPr>
              <w:t>($4,000 levy divided by $200,000 total assessed values x 1,000 = tax rate $20.00 per 1000 AV)</w:t>
            </w:r>
          </w:p>
        </w:tc>
      </w:tr>
      <w:tr w:rsidR="00044EF0" w14:paraId="1819E993" w14:textId="77777777" w:rsidTr="00613DA8">
        <w:trPr>
          <w:trHeight w:val="480"/>
        </w:trPr>
        <w:tc>
          <w:tcPr>
            <w:tcW w:w="2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3E7BCA" w14:textId="77777777" w:rsidR="00044EF0" w:rsidRDefault="00044EF0" w:rsidP="00613DA8">
            <w:pPr>
              <w:rPr>
                <w:rFonts w:ascii="Lato" w:hAnsi="Lato"/>
                <w:color w:val="333333"/>
                <w:sz w:val="24"/>
                <w:szCs w:val="24"/>
                <w14:ligatures w14:val="none"/>
              </w:rPr>
            </w:pPr>
            <w:r>
              <w:rPr>
                <w:rFonts w:ascii="Lato" w:hAnsi="Lato"/>
                <w:b/>
                <w:bCs/>
                <w:color w:val="333333"/>
                <w:sz w:val="24"/>
                <w:szCs w:val="24"/>
                <w14:ligatures w14:val="none"/>
              </w:rPr>
              <w:t>Assessment following reassessment</w:t>
            </w:r>
          </w:p>
        </w:tc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1FCDC6" w14:textId="77777777" w:rsidR="00044EF0" w:rsidRDefault="00044EF0" w:rsidP="00613DA8">
            <w:pPr>
              <w:jc w:val="center"/>
              <w:rPr>
                <w:rFonts w:ascii="Lato" w:hAnsi="Lato"/>
                <w:color w:val="333333"/>
                <w:sz w:val="24"/>
                <w:szCs w:val="24"/>
                <w14:ligatures w14:val="none"/>
              </w:rPr>
            </w:pPr>
            <w:r>
              <w:rPr>
                <w:rFonts w:ascii="Lato" w:hAnsi="Lato"/>
                <w:color w:val="333333"/>
                <w:sz w:val="24"/>
                <w:szCs w:val="24"/>
                <w14:ligatures w14:val="none"/>
              </w:rPr>
              <w:t>$300,000</w:t>
            </w:r>
          </w:p>
        </w:tc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25F327" w14:textId="77777777" w:rsidR="00044EF0" w:rsidRDefault="00044EF0" w:rsidP="00613DA8">
            <w:pPr>
              <w:jc w:val="center"/>
              <w:rPr>
                <w:rFonts w:ascii="Lato" w:hAnsi="Lato"/>
                <w:color w:val="333333"/>
                <w:sz w:val="24"/>
                <w:szCs w:val="24"/>
                <w14:ligatures w14:val="none"/>
              </w:rPr>
            </w:pPr>
            <w:r>
              <w:rPr>
                <w:rFonts w:ascii="Lato" w:hAnsi="Lato"/>
                <w:color w:val="333333"/>
                <w:sz w:val="24"/>
                <w:szCs w:val="24"/>
                <w14:ligatures w14:val="none"/>
              </w:rPr>
              <w:t>$150,000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EE1149" w14:textId="77777777" w:rsidR="00044EF0" w:rsidRDefault="00044EF0" w:rsidP="00613DA8">
            <w:pPr>
              <w:jc w:val="center"/>
              <w:rPr>
                <w:rFonts w:ascii="Lato" w:hAnsi="Lato"/>
                <w:color w:val="333333"/>
                <w:sz w:val="24"/>
                <w:szCs w:val="24"/>
                <w14:ligatures w14:val="none"/>
              </w:rPr>
            </w:pPr>
            <w:r>
              <w:rPr>
                <w:rFonts w:ascii="Lato" w:hAnsi="Lato"/>
                <w:color w:val="333333"/>
                <w:sz w:val="24"/>
                <w:szCs w:val="24"/>
                <w14:ligatures w14:val="none"/>
              </w:rPr>
              <w:t>$4,000</w:t>
            </w:r>
          </w:p>
        </w:tc>
      </w:tr>
      <w:tr w:rsidR="00044EF0" w14:paraId="32156E65" w14:textId="77777777" w:rsidTr="00613DA8">
        <w:trPr>
          <w:trHeight w:val="975"/>
        </w:trPr>
        <w:tc>
          <w:tcPr>
            <w:tcW w:w="2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226DE4" w14:textId="77777777" w:rsidR="00044EF0" w:rsidRDefault="00044EF0" w:rsidP="00613DA8">
            <w:pPr>
              <w:rPr>
                <w:rFonts w:ascii="Lato" w:hAnsi="Lato"/>
                <w:color w:val="333333"/>
                <w:sz w:val="24"/>
                <w:szCs w:val="24"/>
                <w14:ligatures w14:val="none"/>
              </w:rPr>
            </w:pPr>
            <w:r>
              <w:rPr>
                <w:rFonts w:ascii="Lato" w:hAnsi="Lato"/>
                <w:b/>
                <w:bCs/>
                <w:color w:val="333333"/>
                <w:sz w:val="24"/>
                <w:szCs w:val="24"/>
                <w14:ligatures w14:val="none"/>
              </w:rPr>
              <w:t>Taxes following reassessment</w:t>
            </w:r>
          </w:p>
        </w:tc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DE943B" w14:textId="77777777" w:rsidR="00044EF0" w:rsidRDefault="00044EF0" w:rsidP="00613DA8">
            <w:pPr>
              <w:jc w:val="center"/>
              <w:rPr>
                <w:rFonts w:ascii="Lato" w:hAnsi="Lato"/>
                <w:color w:val="333333"/>
                <w:sz w:val="24"/>
                <w:szCs w:val="24"/>
                <w14:ligatures w14:val="none"/>
              </w:rPr>
            </w:pPr>
            <w:r>
              <w:rPr>
                <w:rFonts w:ascii="Lato" w:hAnsi="Lato"/>
                <w:color w:val="333333"/>
                <w:sz w:val="24"/>
                <w:szCs w:val="24"/>
                <w14:ligatures w14:val="none"/>
              </w:rPr>
              <w:t>$2,667</w:t>
            </w:r>
          </w:p>
        </w:tc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E94B16" w14:textId="77777777" w:rsidR="00044EF0" w:rsidRDefault="00044EF0" w:rsidP="00613DA8">
            <w:pPr>
              <w:jc w:val="center"/>
              <w:rPr>
                <w:rFonts w:ascii="Lato" w:hAnsi="Lato"/>
                <w:color w:val="333333"/>
                <w:sz w:val="24"/>
                <w:szCs w:val="24"/>
                <w14:ligatures w14:val="none"/>
              </w:rPr>
            </w:pPr>
            <w:r>
              <w:rPr>
                <w:rFonts w:ascii="Lato" w:hAnsi="Lato"/>
                <w:color w:val="333333"/>
                <w:sz w:val="24"/>
                <w:szCs w:val="24"/>
                <w14:ligatures w14:val="none"/>
              </w:rPr>
              <w:t>$1,333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F278EA" w14:textId="77777777" w:rsidR="00044EF0" w:rsidRDefault="00044EF0" w:rsidP="00613DA8">
            <w:pPr>
              <w:jc w:val="center"/>
              <w:rPr>
                <w:rFonts w:ascii="Lato" w:hAnsi="Lato"/>
                <w:color w:val="333333"/>
                <w:sz w:val="24"/>
                <w:szCs w:val="24"/>
                <w14:ligatures w14:val="none"/>
              </w:rPr>
            </w:pPr>
            <w:r>
              <w:rPr>
                <w:rFonts w:ascii="Lato" w:hAnsi="Lato"/>
                <w:color w:val="333333"/>
                <w:sz w:val="24"/>
                <w:szCs w:val="24"/>
                <w14:ligatures w14:val="none"/>
              </w:rPr>
              <w:t>($4,000 levy divided by $450,000 total assessed values x 1,000 = tax rate $8.89 per 1000 AV)</w:t>
            </w:r>
          </w:p>
        </w:tc>
      </w:tr>
      <w:tr w:rsidR="00044EF0" w14:paraId="5ACE1A71" w14:textId="77777777" w:rsidTr="00613DA8">
        <w:tc>
          <w:tcPr>
            <w:tcW w:w="2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38D3CE" w14:textId="77777777" w:rsidR="00044EF0" w:rsidRDefault="00044EF0" w:rsidP="00613DA8">
            <w:pPr>
              <w:rPr>
                <w:rFonts w:ascii="Lato" w:hAnsi="Lato"/>
                <w:color w:val="333333"/>
                <w:sz w:val="24"/>
                <w:szCs w:val="24"/>
                <w14:ligatures w14:val="none"/>
              </w:rPr>
            </w:pPr>
            <w:proofErr w:type="gramStart"/>
            <w:r>
              <w:rPr>
                <w:rFonts w:ascii="Lato" w:hAnsi="Lato"/>
                <w:b/>
                <w:bCs/>
                <w:color w:val="333333"/>
                <w:sz w:val="24"/>
                <w:szCs w:val="24"/>
                <w14:ligatures w14:val="none"/>
              </w:rPr>
              <w:t>Amount</w:t>
            </w:r>
            <w:proofErr w:type="gramEnd"/>
            <w:r>
              <w:rPr>
                <w:rFonts w:ascii="Lato" w:hAnsi="Lato"/>
                <w:b/>
                <w:bCs/>
                <w:color w:val="333333"/>
                <w:sz w:val="24"/>
                <w:szCs w:val="24"/>
                <w14:ligatures w14:val="none"/>
              </w:rPr>
              <w:t xml:space="preserve"> of changes:</w:t>
            </w:r>
          </w:p>
        </w:tc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22921A" w14:textId="77777777" w:rsidR="00044EF0" w:rsidRDefault="00044EF0" w:rsidP="00613DA8">
            <w:pPr>
              <w:jc w:val="center"/>
              <w:rPr>
                <w:rFonts w:ascii="Lato" w:hAnsi="Lato"/>
                <w:color w:val="333333"/>
                <w:sz w:val="24"/>
                <w:szCs w:val="24"/>
                <w14:ligatures w14:val="none"/>
              </w:rPr>
            </w:pPr>
            <w:r>
              <w:rPr>
                <w:rFonts w:ascii="Lato" w:hAnsi="Lato"/>
                <w:color w:val="333333"/>
                <w:sz w:val="24"/>
                <w:szCs w:val="24"/>
                <w14:ligatures w14:val="none"/>
              </w:rPr>
              <w:t>+$667 (increase of tax burden)</w:t>
            </w:r>
          </w:p>
        </w:tc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4BCA7C" w14:textId="77777777" w:rsidR="00044EF0" w:rsidRDefault="00044EF0" w:rsidP="00613DA8">
            <w:pPr>
              <w:jc w:val="center"/>
              <w:rPr>
                <w:rFonts w:ascii="Lato" w:hAnsi="Lato"/>
                <w:color w:val="333333"/>
                <w:sz w:val="24"/>
                <w:szCs w:val="24"/>
                <w14:ligatures w14:val="none"/>
              </w:rPr>
            </w:pPr>
            <w:r>
              <w:rPr>
                <w:rFonts w:ascii="Lato" w:hAnsi="Lato"/>
                <w:color w:val="333333"/>
                <w:sz w:val="24"/>
                <w:szCs w:val="24"/>
                <w14:ligatures w14:val="none"/>
              </w:rPr>
              <w:t>-$667 (decrease of tax burden)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A3C51F" w14:textId="77777777" w:rsidR="00044EF0" w:rsidRDefault="00044EF0" w:rsidP="00613DA8">
            <w:pPr>
              <w:jc w:val="center"/>
              <w:rPr>
                <w:rFonts w:ascii="Lato" w:hAnsi="Lato"/>
                <w:color w:val="333333"/>
                <w:sz w:val="24"/>
                <w:szCs w:val="24"/>
                <w14:ligatures w14:val="none"/>
              </w:rPr>
            </w:pPr>
            <w:r>
              <w:rPr>
                <w:rFonts w:ascii="Lato" w:hAnsi="Lato"/>
                <w:color w:val="333333"/>
                <w:sz w:val="24"/>
                <w:szCs w:val="24"/>
                <w14:ligatures w14:val="none"/>
              </w:rPr>
              <w:t> </w:t>
            </w:r>
          </w:p>
        </w:tc>
      </w:tr>
      <w:tr w:rsidR="00044EF0" w14:paraId="54C0062A" w14:textId="77777777" w:rsidTr="00613DA8">
        <w:tc>
          <w:tcPr>
            <w:tcW w:w="2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FD93546" w14:textId="77777777" w:rsidR="00044EF0" w:rsidRDefault="00044EF0" w:rsidP="00613DA8">
            <w:pPr>
              <w:rPr>
                <w:rFonts w:ascii="Lato" w:hAnsi="Lato"/>
                <w:b/>
                <w:bCs/>
                <w:color w:val="333333"/>
                <w:sz w:val="24"/>
                <w:szCs w:val="24"/>
                <w14:ligatures w14:val="none"/>
              </w:rPr>
            </w:pPr>
          </w:p>
        </w:tc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ADD7833" w14:textId="77777777" w:rsidR="00044EF0" w:rsidRDefault="00044EF0" w:rsidP="00613DA8">
            <w:pPr>
              <w:jc w:val="center"/>
              <w:rPr>
                <w:rFonts w:ascii="Lato" w:hAnsi="Lato"/>
                <w:color w:val="333333"/>
                <w:sz w:val="24"/>
                <w:szCs w:val="24"/>
                <w14:ligatures w14:val="none"/>
              </w:rPr>
            </w:pPr>
          </w:p>
        </w:tc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D591817" w14:textId="77777777" w:rsidR="00044EF0" w:rsidRDefault="00044EF0" w:rsidP="00613DA8">
            <w:pPr>
              <w:jc w:val="center"/>
              <w:rPr>
                <w:rFonts w:ascii="Lato" w:hAnsi="Lato"/>
                <w:color w:val="333333"/>
                <w:sz w:val="24"/>
                <w:szCs w:val="24"/>
                <w14:ligatures w14:val="none"/>
              </w:rPr>
            </w:pP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DFE02D9" w14:textId="77777777" w:rsidR="00044EF0" w:rsidRDefault="00044EF0" w:rsidP="00613DA8">
            <w:pPr>
              <w:jc w:val="center"/>
              <w:rPr>
                <w:rFonts w:ascii="Lato" w:hAnsi="Lato"/>
                <w:color w:val="333333"/>
                <w:sz w:val="24"/>
                <w:szCs w:val="24"/>
                <w14:ligatures w14:val="none"/>
              </w:rPr>
            </w:pPr>
          </w:p>
        </w:tc>
      </w:tr>
    </w:tbl>
    <w:p w14:paraId="342EAA5E" w14:textId="77777777" w:rsidR="00044EF0" w:rsidRDefault="00044EF0" w:rsidP="00044EF0">
      <w:pPr>
        <w:pStyle w:val="NormalWeb"/>
        <w:shd w:val="clear" w:color="auto" w:fill="FFFFFF"/>
        <w:spacing w:before="0" w:beforeAutospacing="0" w:after="450" w:afterAutospacing="0"/>
        <w:rPr>
          <w:rFonts w:ascii="Lato" w:hAnsi="Lato"/>
          <w:color w:val="333333"/>
        </w:rPr>
      </w:pPr>
    </w:p>
    <w:p w14:paraId="648FFF9D" w14:textId="77777777" w:rsidR="00044EF0" w:rsidRDefault="00044EF0"/>
    <w:sectPr w:rsidR="00044EF0" w:rsidSect="00F467F9">
      <w:pgSz w:w="12240" w:h="15840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29D"/>
    <w:rsid w:val="00044EF0"/>
    <w:rsid w:val="00657B8D"/>
    <w:rsid w:val="00804277"/>
    <w:rsid w:val="00EB329D"/>
    <w:rsid w:val="00F467F9"/>
    <w:rsid w:val="00FA3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B9722"/>
  <w15:chartTrackingRefBased/>
  <w15:docId w15:val="{A042937E-C2EB-42EB-AA74-4127AA670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29D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4EF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044E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3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Assessor</dc:creator>
  <cp:keywords/>
  <dc:description/>
  <cp:lastModifiedBy>Assessor</cp:lastModifiedBy>
  <cp:revision>2</cp:revision>
  <cp:lastPrinted>2024-03-11T18:49:00Z</cp:lastPrinted>
  <dcterms:created xsi:type="dcterms:W3CDTF">2024-03-13T22:15:00Z</dcterms:created>
  <dcterms:modified xsi:type="dcterms:W3CDTF">2024-03-13T22:15:00Z</dcterms:modified>
</cp:coreProperties>
</file>